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9A5" w:rsidRDefault="005449A5" w:rsidP="005449A5">
      <w:pPr>
        <w:tabs>
          <w:tab w:val="left" w:pos="2835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Приложение №4  Определение уровня достоверности различий результатов констатирующего и контрольного мониторинга формирования метапредметных УУД при помощи критерия знаков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G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5449A5" w:rsidRDefault="005449A5" w:rsidP="005449A5">
      <w:pPr>
        <w:tabs>
          <w:tab w:val="left" w:pos="2835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49A5" w:rsidRDefault="005449A5" w:rsidP="005449A5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определения уровня достоверности результатов автор составила таблицу, где отражены данные констатирующего и контрольного мониторинга по уровню сформированности метапредметных универсальных учебных действий. В столбце, обозначенном словом «Сдвиг», для каждого участника отдельно выявлены изменения уровня сформированности метапредметных компетенций.</w:t>
      </w:r>
    </w:p>
    <w:tbl>
      <w:tblPr>
        <w:tblStyle w:val="a3"/>
        <w:tblW w:w="6075" w:type="dxa"/>
        <w:jc w:val="center"/>
        <w:tblInd w:w="0" w:type="dxa"/>
        <w:tblLayout w:type="fixed"/>
        <w:tblLook w:val="04A0"/>
      </w:tblPr>
      <w:tblGrid>
        <w:gridCol w:w="2390"/>
        <w:gridCol w:w="1417"/>
        <w:gridCol w:w="1418"/>
        <w:gridCol w:w="850"/>
      </w:tblGrid>
      <w:tr w:rsidR="005449A5" w:rsidTr="005449A5">
        <w:trPr>
          <w:jc w:val="center"/>
        </w:trPr>
        <w:tc>
          <w:tcPr>
            <w:tcW w:w="23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 ученика</w:t>
            </w:r>
          </w:p>
        </w:tc>
        <w:tc>
          <w:tcPr>
            <w:tcW w:w="36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Регулятивные УУД</w:t>
            </w:r>
          </w:p>
        </w:tc>
      </w:tr>
      <w:tr w:rsidR="005449A5" w:rsidTr="005449A5">
        <w:trPr>
          <w:jc w:val="center"/>
        </w:trPr>
        <w:tc>
          <w:tcPr>
            <w:tcW w:w="239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49A5" w:rsidRDefault="00544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Констатирующий мониторинг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Контрольный мониторинг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Сдвиг</w:t>
            </w:r>
          </w:p>
        </w:tc>
      </w:tr>
      <w:tr w:rsidR="005449A5" w:rsidTr="005449A5">
        <w:trPr>
          <w:trHeight w:hRule="exact" w:val="236"/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49A5" w:rsidRDefault="005449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Мария А.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</w:pPr>
            <w:r>
              <w:rPr>
                <w:rFonts w:ascii="Times New Roman" w:hAnsi="Times New Roman" w:cs="Times New Roman"/>
              </w:rPr>
              <w:t>+2</w:t>
            </w:r>
          </w:p>
        </w:tc>
      </w:tr>
      <w:tr w:rsidR="005449A5" w:rsidTr="005449A5">
        <w:trPr>
          <w:trHeight w:hRule="exact" w:val="282"/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49A5" w:rsidRDefault="005449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Диана Б.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</w:pPr>
            <w:r>
              <w:rPr>
                <w:rFonts w:ascii="Times New Roman" w:hAnsi="Times New Roman" w:cs="Times New Roman"/>
              </w:rPr>
              <w:t>+1</w:t>
            </w:r>
          </w:p>
        </w:tc>
      </w:tr>
      <w:tr w:rsidR="005449A5" w:rsidTr="005449A5">
        <w:trPr>
          <w:trHeight w:hRule="exact" w:val="287"/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49A5" w:rsidRDefault="005449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Вероника Б.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</w:pPr>
            <w:r>
              <w:rPr>
                <w:rFonts w:ascii="Times New Roman" w:hAnsi="Times New Roman" w:cs="Times New Roman"/>
              </w:rPr>
              <w:t>+1</w:t>
            </w:r>
          </w:p>
        </w:tc>
      </w:tr>
      <w:tr w:rsidR="005449A5" w:rsidTr="005449A5">
        <w:trPr>
          <w:trHeight w:hRule="exact" w:val="276"/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49A5" w:rsidRDefault="005449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Карина Б.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449A5" w:rsidTr="005449A5">
        <w:trPr>
          <w:trHeight w:hRule="exact" w:val="281"/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49A5" w:rsidRDefault="005449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Игорь Б.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</w:pPr>
            <w:r>
              <w:rPr>
                <w:rFonts w:ascii="Times New Roman" w:hAnsi="Times New Roman" w:cs="Times New Roman"/>
              </w:rPr>
              <w:t>+1</w:t>
            </w:r>
          </w:p>
        </w:tc>
      </w:tr>
      <w:tr w:rsidR="005449A5" w:rsidTr="005449A5">
        <w:trPr>
          <w:trHeight w:hRule="exact" w:val="270"/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49A5" w:rsidRDefault="005449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Александр Б.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</w:pPr>
            <w:r>
              <w:rPr>
                <w:rFonts w:ascii="Times New Roman" w:hAnsi="Times New Roman" w:cs="Times New Roman"/>
              </w:rPr>
              <w:t>+1</w:t>
            </w:r>
          </w:p>
        </w:tc>
      </w:tr>
      <w:tr w:rsidR="005449A5" w:rsidTr="005449A5">
        <w:trPr>
          <w:trHeight w:hRule="exact" w:val="289"/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49A5" w:rsidRDefault="005449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Серафим В.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</w:pPr>
            <w:r>
              <w:rPr>
                <w:rFonts w:ascii="Times New Roman" w:hAnsi="Times New Roman" w:cs="Times New Roman"/>
              </w:rPr>
              <w:t>+2</w:t>
            </w:r>
          </w:p>
        </w:tc>
      </w:tr>
      <w:tr w:rsidR="005449A5" w:rsidTr="005449A5">
        <w:trPr>
          <w:trHeight w:hRule="exact" w:val="278"/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49A5" w:rsidRDefault="005449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Ирина Г.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449A5" w:rsidTr="005449A5">
        <w:trPr>
          <w:trHeight w:hRule="exact" w:val="268"/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49A5" w:rsidRDefault="005449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Полина Е.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449A5" w:rsidTr="005449A5">
        <w:trPr>
          <w:trHeight w:hRule="exact" w:val="286"/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49A5" w:rsidRDefault="005449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Ангелина К.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</w:pPr>
            <w:r>
              <w:rPr>
                <w:rFonts w:ascii="Times New Roman" w:hAnsi="Times New Roman" w:cs="Times New Roman"/>
              </w:rPr>
              <w:t>+2</w:t>
            </w:r>
          </w:p>
        </w:tc>
      </w:tr>
      <w:tr w:rsidR="005449A5" w:rsidTr="005449A5">
        <w:trPr>
          <w:trHeight w:hRule="exact" w:val="291"/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49A5" w:rsidRDefault="005449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Анастасия К.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</w:pPr>
            <w:r>
              <w:rPr>
                <w:rFonts w:ascii="Times New Roman" w:hAnsi="Times New Roman" w:cs="Times New Roman"/>
              </w:rPr>
              <w:t>+1</w:t>
            </w:r>
          </w:p>
        </w:tc>
      </w:tr>
      <w:tr w:rsidR="005449A5" w:rsidTr="005449A5">
        <w:trPr>
          <w:trHeight w:hRule="exact" w:val="266"/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49A5" w:rsidRDefault="005449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Ева Л.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</w:pPr>
            <w:r>
              <w:rPr>
                <w:rFonts w:ascii="Times New Roman" w:hAnsi="Times New Roman" w:cs="Times New Roman"/>
              </w:rPr>
              <w:t>+1</w:t>
            </w:r>
          </w:p>
        </w:tc>
      </w:tr>
      <w:tr w:rsidR="005449A5" w:rsidTr="005449A5">
        <w:trPr>
          <w:trHeight w:hRule="exact" w:val="285"/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49A5" w:rsidRDefault="005449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Алина Л.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</w:pPr>
            <w:r>
              <w:rPr>
                <w:rFonts w:ascii="Times New Roman" w:hAnsi="Times New Roman" w:cs="Times New Roman"/>
              </w:rPr>
              <w:t>+2</w:t>
            </w:r>
          </w:p>
        </w:tc>
      </w:tr>
      <w:tr w:rsidR="005449A5" w:rsidTr="005449A5">
        <w:trPr>
          <w:trHeight w:hRule="exact" w:val="274"/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Андрей М.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449A5" w:rsidTr="005449A5">
        <w:trPr>
          <w:trHeight w:hRule="exact" w:val="278"/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Алина М.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449A5" w:rsidTr="005449A5">
        <w:trPr>
          <w:trHeight w:hRule="exact" w:val="282"/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Ева П.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+1</w:t>
            </w:r>
          </w:p>
        </w:tc>
      </w:tr>
      <w:tr w:rsidR="005449A5" w:rsidTr="005449A5">
        <w:trPr>
          <w:trHeight w:hRule="exact" w:val="273"/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Евгения П.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449A5" w:rsidTr="005449A5">
        <w:trPr>
          <w:trHeight w:hRule="exact" w:val="290"/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Алина Р.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</w:pPr>
            <w:r>
              <w:rPr>
                <w:rFonts w:ascii="Times New Roman" w:hAnsi="Times New Roman" w:cs="Times New Roman"/>
              </w:rPr>
              <w:t>+1</w:t>
            </w:r>
          </w:p>
        </w:tc>
      </w:tr>
      <w:tr w:rsidR="005449A5" w:rsidTr="005449A5">
        <w:trPr>
          <w:trHeight w:hRule="exact" w:val="281"/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Яна Р.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</w:pPr>
            <w:r>
              <w:rPr>
                <w:rFonts w:ascii="Times New Roman" w:hAnsi="Times New Roman" w:cs="Times New Roman"/>
              </w:rPr>
              <w:t>+1</w:t>
            </w:r>
          </w:p>
        </w:tc>
      </w:tr>
      <w:tr w:rsidR="005449A5" w:rsidTr="005449A5">
        <w:trPr>
          <w:trHeight w:hRule="exact" w:val="327"/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Екатерина С.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</w:pPr>
            <w:r>
              <w:rPr>
                <w:rFonts w:ascii="Times New Roman" w:hAnsi="Times New Roman" w:cs="Times New Roman"/>
              </w:rPr>
              <w:t>+2</w:t>
            </w:r>
          </w:p>
        </w:tc>
      </w:tr>
      <w:tr w:rsidR="005449A5" w:rsidTr="005449A5">
        <w:trPr>
          <w:trHeight w:hRule="exact" w:val="327"/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Карина С.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</w:pPr>
            <w:r>
              <w:rPr>
                <w:rFonts w:ascii="Times New Roman" w:hAnsi="Times New Roman" w:cs="Times New Roman"/>
              </w:rPr>
              <w:t>+1</w:t>
            </w:r>
          </w:p>
        </w:tc>
      </w:tr>
      <w:tr w:rsidR="005449A5" w:rsidTr="005449A5">
        <w:trPr>
          <w:trHeight w:hRule="exact" w:val="275"/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София Т.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449A5" w:rsidTr="005449A5">
        <w:trPr>
          <w:trHeight w:hRule="exact" w:val="293"/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Анастасия Х.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+1</w:t>
            </w:r>
          </w:p>
        </w:tc>
      </w:tr>
      <w:tr w:rsidR="005449A5" w:rsidTr="005449A5">
        <w:trPr>
          <w:trHeight w:hRule="exact" w:val="282"/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Никита Ч.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449A5" w:rsidTr="005449A5">
        <w:trPr>
          <w:trHeight w:hRule="exact" w:val="272"/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Мария Ч.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449A5" w:rsidTr="005449A5">
        <w:trPr>
          <w:trHeight w:hRule="exact" w:val="290"/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tabs>
                <w:tab w:val="left" w:pos="3015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 Э.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9A5" w:rsidRDefault="0054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+1</w:t>
            </w:r>
          </w:p>
        </w:tc>
      </w:tr>
    </w:tbl>
    <w:p w:rsidR="005449A5" w:rsidRDefault="005449A5" w:rsidP="005449A5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Проанализируем статистические данные регулятивных УУД:</w:t>
      </w:r>
    </w:p>
    <w:p w:rsidR="005449A5" w:rsidRDefault="005449A5" w:rsidP="005449A5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общее число отрицательных сдвигов – 0,</w:t>
      </w:r>
    </w:p>
    <w:p w:rsidR="005449A5" w:rsidRDefault="005449A5" w:rsidP="005449A5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общее число нулевых сдвигов – 9,</w:t>
      </w:r>
    </w:p>
    <w:p w:rsidR="005449A5" w:rsidRDefault="005449A5" w:rsidP="005449A5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общее число положительных сдвигов – 22.</w:t>
      </w:r>
    </w:p>
    <w:p w:rsidR="005449A5" w:rsidRDefault="005449A5" w:rsidP="005449A5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Таким образом, пользуясь таблицей критических значений знаков </w:t>
      </w:r>
      <w:r>
        <w:rPr>
          <w:rFonts w:ascii="Times New Roman" w:hAnsi="Times New Roman" w:cs="Times New Roman"/>
          <w:sz w:val="28"/>
          <w:lang w:val="en-US"/>
        </w:rPr>
        <w:t>G</w:t>
      </w:r>
      <w:r>
        <w:rPr>
          <w:rFonts w:ascii="Times New Roman" w:hAnsi="Times New Roman" w:cs="Times New Roman"/>
          <w:sz w:val="28"/>
        </w:rPr>
        <w:t xml:space="preserve"> для уровней статистической значимости р≤0,05 и р≤0,01 имеем:  </w:t>
      </w:r>
      <m:oMath>
        <m:r>
          <w:rPr>
            <w:rFonts w:ascii="Cambria Math" w:hAnsi="Cambria Math" w:cs="Times New Roman"/>
            <w:sz w:val="28"/>
          </w:rPr>
          <m:t>Gкр</m:t>
        </m:r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8"/>
                  </w:rPr>
                  <m:t>6 для Р≤0,05</m:t>
                </m:r>
              </m:e>
              <m:e>
                <m:r>
                  <w:rPr>
                    <w:rFonts w:ascii="Cambria Math" w:hAnsi="Cambria Math" w:cs="Times New Roman"/>
                    <w:sz w:val="28"/>
                  </w:rPr>
                  <m:t>5 для Р≤0,01</m:t>
                </m:r>
              </m:e>
            </m:eqArr>
          </m:e>
        </m:d>
      </m:oMath>
    </w:p>
    <w:p w:rsidR="005449A5" w:rsidRDefault="005449A5" w:rsidP="005449A5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</w:p>
    <w:p w:rsidR="005449A5" w:rsidRDefault="005449A5" w:rsidP="005449A5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27" type="#_x0000_t19" style="position:absolute;left:0;text-align:left;margin-left:284.55pt;margin-top:.6pt;width:124.5pt;height:52.55pt;rotation:12039780fd;flip:y;z-index:251658240"/>
        </w:pict>
      </w:r>
      <w:r>
        <w:pict>
          <v:shape id="_x0000_s1028" type="#_x0000_t19" style="position:absolute;left:0;text-align:left;margin-left:141pt;margin-top:.6pt;width:124.5pt;height:52.55pt;rotation:12039780fd;flip:x y;z-index:251658240"/>
        </w:pict>
      </w:r>
    </w:p>
    <w:p w:rsidR="005449A5" w:rsidRDefault="005449A5" w:rsidP="005449A5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395.75pt;margin-top:18.1pt;width:0;height:21.75pt;z-index:251658240" o:connectortype="straight"/>
        </w:pict>
      </w:r>
      <w:r>
        <w:pict>
          <v:shape id="_x0000_s1030" type="#_x0000_t32" style="position:absolute;left:0;text-align:left;margin-left:263.5pt;margin-top:18.1pt;width:0;height:21.75pt;z-index:251658240" o:connectortype="straight"/>
        </w:pict>
      </w:r>
      <w:r>
        <w:pict>
          <v:shape id="_x0000_s1029" type="#_x0000_t32" style="position:absolute;left:0;text-align:left;margin-left:286.25pt;margin-top:18.1pt;width:0;height:21.75pt;z-index:251658240" o:connectortype="straight"/>
        </w:pict>
      </w:r>
      <w:r>
        <w:rPr>
          <w:rFonts w:ascii="Times New Roman" w:hAnsi="Times New Roman" w:cs="Times New Roman"/>
          <w:sz w:val="28"/>
        </w:rPr>
        <w:t xml:space="preserve">                      Зона незначимости                         Зона значимости</w:t>
      </w:r>
    </w:p>
    <w:p w:rsidR="005449A5" w:rsidRDefault="005449A5" w:rsidP="005449A5">
      <w:pPr>
        <w:spacing w:after="0"/>
        <w:jc w:val="both"/>
        <w:rPr>
          <w:rFonts w:ascii="Times New Roman" w:hAnsi="Times New Roman" w:cs="Times New Roman"/>
          <w:sz w:val="28"/>
        </w:rPr>
      </w:pPr>
      <w:r>
        <w:pict>
          <v:shape id="_x0000_s1026" type="#_x0000_t32" style="position:absolute;left:0;text-align:left;margin-left:129.3pt;margin-top:16.2pt;width:305.25pt;height:.05pt;flip:x;z-index:251658240" o:connectortype="straight">
            <v:stroke endarrow="block"/>
          </v:shape>
        </w:pict>
      </w:r>
      <w:r>
        <w:pict>
          <v:oval id="_x0000_s1032" style="position:absolute;left:0;text-align:left;margin-left:371.75pt;margin-top:9.45pt;width:50.05pt;height:27pt;z-index:251658240" filled="f"/>
        </w:pict>
      </w:r>
    </w:p>
    <w:p w:rsidR="005449A5" w:rsidRDefault="005449A5" w:rsidP="005449A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8"/>
          <w:lang w:val="en-US"/>
        </w:rPr>
        <w:t>G</w:t>
      </w:r>
      <w:r>
        <w:rPr>
          <w:rFonts w:ascii="Times New Roman" w:hAnsi="Times New Roman" w:cs="Times New Roman"/>
          <w:sz w:val="28"/>
          <w:vertAlign w:val="subscript"/>
        </w:rPr>
        <w:t>кр</w:t>
      </w:r>
      <w:r>
        <w:rPr>
          <w:rFonts w:ascii="Times New Roman" w:hAnsi="Times New Roman" w:cs="Times New Roman"/>
          <w:sz w:val="28"/>
        </w:rPr>
        <w:t xml:space="preserve">=6   </w:t>
      </w:r>
      <w:r>
        <w:rPr>
          <w:rFonts w:ascii="Times New Roman" w:hAnsi="Times New Roman" w:cs="Times New Roman"/>
          <w:sz w:val="28"/>
          <w:lang w:val="en-US"/>
        </w:rPr>
        <w:t>G</w:t>
      </w:r>
      <w:r>
        <w:rPr>
          <w:rFonts w:ascii="Times New Roman" w:hAnsi="Times New Roman" w:cs="Times New Roman"/>
          <w:sz w:val="28"/>
          <w:vertAlign w:val="subscript"/>
        </w:rPr>
        <w:t>кр</w:t>
      </w:r>
      <w:r>
        <w:rPr>
          <w:rFonts w:ascii="Times New Roman" w:hAnsi="Times New Roman" w:cs="Times New Roman"/>
          <w:sz w:val="28"/>
        </w:rPr>
        <w:t xml:space="preserve">=5                  </w:t>
      </w:r>
      <w:r>
        <w:rPr>
          <w:rFonts w:ascii="Times New Roman" w:hAnsi="Times New Roman" w:cs="Times New Roman"/>
          <w:sz w:val="28"/>
          <w:lang w:val="en-US"/>
        </w:rPr>
        <w:t>G</w:t>
      </w:r>
      <w:r>
        <w:rPr>
          <w:rFonts w:ascii="Times New Roman" w:hAnsi="Times New Roman" w:cs="Times New Roman"/>
          <w:sz w:val="28"/>
          <w:vertAlign w:val="subscript"/>
        </w:rPr>
        <w:t>эмп</w:t>
      </w:r>
      <w:r>
        <w:rPr>
          <w:rFonts w:ascii="Times New Roman" w:hAnsi="Times New Roman" w:cs="Times New Roman"/>
          <w:sz w:val="28"/>
        </w:rPr>
        <w:t xml:space="preserve">=0            </w:t>
      </w:r>
    </w:p>
    <w:p w:rsidR="005449A5" w:rsidRDefault="005449A5" w:rsidP="005449A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Следовательно, статистический анализ показал высокую положительную динамику формирования познавательных компетенций у учащихся.</w:t>
      </w:r>
    </w:p>
    <w:p w:rsidR="005449A5" w:rsidRDefault="005449A5" w:rsidP="005449A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Таким образом,  статистический анализ данных подтверждает положительную динамику формирования регулятивных универсальных учебных действий у учащихся, которые обучались с использованием метода лабораторных работ.</w:t>
      </w:r>
    </w:p>
    <w:p w:rsidR="00000000" w:rsidRDefault="005449A5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compat>
    <w:useFELayout/>
  </w:compat>
  <w:rsids>
    <w:rsidRoot w:val="005449A5"/>
    <w:rsid w:val="00544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  <o:rules v:ext="edit">
        <o:r id="V:Rule1" type="arc" idref="#_x0000_s1027"/>
        <o:r id="V:Rule2" type="arc" idref="#_x0000_s1028"/>
        <o:r id="V:Rule3" type="connector" idref="#_x0000_s1030"/>
        <o:r id="V:Rule4" type="connector" idref="#_x0000_s1026"/>
        <o:r id="V:Rule5" type="connector" idref="#_x0000_s1031"/>
        <o:r id="V:Rule6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49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44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49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19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1656</Characters>
  <Application>Microsoft Office Word</Application>
  <DocSecurity>0</DocSecurity>
  <Lines>13</Lines>
  <Paragraphs>3</Paragraphs>
  <ScaleCrop>false</ScaleCrop>
  <Company>Grizli777</Company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2017-03-12T13:15:00Z</dcterms:created>
  <dcterms:modified xsi:type="dcterms:W3CDTF">2017-03-12T13:15:00Z</dcterms:modified>
</cp:coreProperties>
</file>